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81FF" w14:textId="77777777" w:rsidR="00F03407" w:rsidRPr="00F03407" w:rsidRDefault="00F03407" w:rsidP="00F03407">
      <w:pPr>
        <w:shd w:val="clear" w:color="auto" w:fill="FFFFFF"/>
        <w:spacing w:before="120" w:after="120" w:line="240" w:lineRule="auto"/>
        <w:jc w:val="center"/>
        <w:rPr>
          <w:rFonts w:ascii="Arial" w:eastAsia="Times New Roman" w:hAnsi="Arial" w:cs="Arial"/>
          <w:color w:val="515151"/>
          <w:kern w:val="0"/>
          <w:sz w:val="21"/>
          <w:szCs w:val="21"/>
          <w:lang w:eastAsia="vi-VN"/>
          <w14:ligatures w14:val="none"/>
        </w:rPr>
      </w:pPr>
      <w:r w:rsidRPr="00F03407">
        <w:rPr>
          <w:rFonts w:ascii="Arial" w:eastAsia="Times New Roman" w:hAnsi="Arial" w:cs="Arial"/>
          <w:b/>
          <w:bCs/>
          <w:color w:val="515151"/>
          <w:kern w:val="0"/>
          <w:sz w:val="21"/>
          <w:szCs w:val="21"/>
          <w:lang w:eastAsia="vi-VN"/>
          <w14:ligatures w14:val="none"/>
        </w:rPr>
        <w:t>CỘNG HÒA XÃ HỘI CHỦ NGHĨA VIỆT NAM</w:t>
      </w:r>
    </w:p>
    <w:p w14:paraId="693FD426" w14:textId="77777777" w:rsidR="00F03407" w:rsidRPr="00F03407" w:rsidRDefault="00F03407" w:rsidP="00F03407">
      <w:pPr>
        <w:shd w:val="clear" w:color="auto" w:fill="FFFFFF"/>
        <w:spacing w:before="120" w:after="120" w:line="240" w:lineRule="auto"/>
        <w:jc w:val="center"/>
        <w:rPr>
          <w:rFonts w:ascii="Arial" w:eastAsia="Times New Roman" w:hAnsi="Arial" w:cs="Arial"/>
          <w:color w:val="515151"/>
          <w:kern w:val="0"/>
          <w:sz w:val="21"/>
          <w:szCs w:val="21"/>
          <w:lang w:eastAsia="vi-VN"/>
          <w14:ligatures w14:val="none"/>
        </w:rPr>
      </w:pPr>
      <w:r w:rsidRPr="00F03407">
        <w:rPr>
          <w:rFonts w:ascii="Arial" w:eastAsia="Times New Roman" w:hAnsi="Arial" w:cs="Arial"/>
          <w:b/>
          <w:bCs/>
          <w:color w:val="515151"/>
          <w:kern w:val="0"/>
          <w:sz w:val="21"/>
          <w:szCs w:val="21"/>
          <w:lang w:eastAsia="vi-VN"/>
          <w14:ligatures w14:val="none"/>
        </w:rPr>
        <w:t>Độc lập – Tự do – Hạnh phúc</w:t>
      </w:r>
    </w:p>
    <w:p w14:paraId="50BA9EB4" w14:textId="77777777" w:rsidR="00F03407" w:rsidRPr="00F03407" w:rsidRDefault="00F03407" w:rsidP="00F03407">
      <w:pPr>
        <w:shd w:val="clear" w:color="auto" w:fill="FFFFFF"/>
        <w:spacing w:before="120" w:after="120" w:line="240" w:lineRule="auto"/>
        <w:jc w:val="center"/>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w:t>
      </w:r>
    </w:p>
    <w:p w14:paraId="2267449F" w14:textId="77777777" w:rsidR="00F03407" w:rsidRPr="00F03407" w:rsidRDefault="00F03407" w:rsidP="00F03407">
      <w:pPr>
        <w:shd w:val="clear" w:color="auto" w:fill="FFFFFF"/>
        <w:spacing w:before="120" w:after="120" w:line="240" w:lineRule="auto"/>
        <w:jc w:val="center"/>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Hà nội, ngày …..tháng……năm 2013</w:t>
      </w:r>
    </w:p>
    <w:p w14:paraId="6EC04A72" w14:textId="77777777" w:rsidR="00F03407" w:rsidRPr="00F03407" w:rsidRDefault="00F03407" w:rsidP="00F03407">
      <w:pPr>
        <w:shd w:val="clear" w:color="auto" w:fill="FFFFFF"/>
        <w:spacing w:before="120" w:after="120" w:line="340" w:lineRule="exact"/>
        <w:jc w:val="center"/>
        <w:rPr>
          <w:rFonts w:ascii="Arial" w:eastAsia="Times New Roman" w:hAnsi="Arial" w:cs="Arial"/>
          <w:color w:val="515151"/>
          <w:kern w:val="0"/>
          <w:sz w:val="30"/>
          <w:szCs w:val="30"/>
          <w:lang w:eastAsia="vi-VN"/>
          <w14:ligatures w14:val="none"/>
        </w:rPr>
      </w:pPr>
      <w:r w:rsidRPr="00F03407">
        <w:rPr>
          <w:rFonts w:ascii="Arial" w:eastAsia="Times New Roman" w:hAnsi="Arial" w:cs="Arial"/>
          <w:b/>
          <w:bCs/>
          <w:color w:val="515151"/>
          <w:kern w:val="0"/>
          <w:sz w:val="30"/>
          <w:szCs w:val="30"/>
          <w:lang w:eastAsia="vi-VN"/>
          <w14:ligatures w14:val="none"/>
        </w:rPr>
        <w:t>HỢP ĐỒNG MƯỢN NHÀ</w:t>
      </w:r>
    </w:p>
    <w:p w14:paraId="61F4EA94" w14:textId="77777777" w:rsidR="00F03407" w:rsidRPr="00F03407" w:rsidRDefault="00F03407" w:rsidP="00F03407">
      <w:pPr>
        <w:shd w:val="clear" w:color="auto" w:fill="FFFFFF"/>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v  </w:t>
      </w:r>
      <w:r w:rsidRPr="00F03407">
        <w:rPr>
          <w:rFonts w:ascii="Arial" w:eastAsia="Times New Roman" w:hAnsi="Arial" w:cs="Arial"/>
          <w:i/>
          <w:iCs/>
          <w:color w:val="515151"/>
          <w:kern w:val="0"/>
          <w:sz w:val="21"/>
          <w:szCs w:val="21"/>
          <w:lang w:eastAsia="vi-VN"/>
          <w14:ligatures w14:val="none"/>
        </w:rPr>
        <w:t>Căn cứ Bộ Luật Dân Sự nước Cộng hòa xã hội chủ nghĩa Viêt Nam được Quốc Hội nước CHXHCNVN thông qua ngày 14/06/2005;</w:t>
      </w:r>
    </w:p>
    <w:p w14:paraId="0BD810A7" w14:textId="77777777" w:rsidR="00F03407" w:rsidRPr="00F03407" w:rsidRDefault="00F03407" w:rsidP="00F03407">
      <w:pPr>
        <w:shd w:val="clear" w:color="auto" w:fill="FFFFFF"/>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v  </w:t>
      </w:r>
      <w:r w:rsidRPr="00F03407">
        <w:rPr>
          <w:rFonts w:ascii="Arial" w:eastAsia="Times New Roman" w:hAnsi="Arial" w:cs="Arial"/>
          <w:i/>
          <w:iCs/>
          <w:color w:val="515151"/>
          <w:kern w:val="0"/>
          <w:sz w:val="21"/>
          <w:szCs w:val="21"/>
          <w:lang w:eastAsia="vi-VN"/>
          <w14:ligatures w14:val="none"/>
        </w:rPr>
        <w:t>Căn cứ vào nhu cầu năng lực của hai bên;</w:t>
      </w:r>
    </w:p>
    <w:p w14:paraId="7B0384D2" w14:textId="77777777" w:rsidR="00F03407" w:rsidRPr="00F03407" w:rsidRDefault="00F03407" w:rsidP="00F03407">
      <w:pPr>
        <w:shd w:val="clear" w:color="auto" w:fill="FFFFFF"/>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b/>
          <w:bCs/>
          <w:color w:val="515151"/>
          <w:kern w:val="0"/>
          <w:sz w:val="21"/>
          <w:szCs w:val="21"/>
          <w:lang w:eastAsia="vi-VN"/>
          <w14:ligatures w14:val="none"/>
        </w:rPr>
        <w:t>Chúng tôi gồm:</w:t>
      </w:r>
    </w:p>
    <w:p w14:paraId="510B684B" w14:textId="77777777" w:rsidR="00F03407" w:rsidRPr="00F03407" w:rsidRDefault="00F03407" w:rsidP="00F03407">
      <w:pPr>
        <w:shd w:val="clear" w:color="auto" w:fill="FFFFFF"/>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b/>
          <w:bCs/>
          <w:color w:val="515151"/>
          <w:kern w:val="0"/>
          <w:sz w:val="21"/>
          <w:szCs w:val="21"/>
          <w:lang w:eastAsia="vi-VN"/>
          <w14:ligatures w14:val="none"/>
        </w:rPr>
        <w:t>Bên Cho mượn nhà : (Bên A)</w:t>
      </w:r>
    </w:p>
    <w:tbl>
      <w:tblPr>
        <w:tblpPr w:leftFromText="45" w:rightFromText="45" w:bottomFromText="300" w:vertAnchor="text"/>
        <w:tblW w:w="9160" w:type="dxa"/>
        <w:shd w:val="clear" w:color="auto" w:fill="FFFFFF"/>
        <w:tblCellMar>
          <w:left w:w="0" w:type="dxa"/>
          <w:right w:w="0" w:type="dxa"/>
        </w:tblCellMar>
        <w:tblLook w:val="04A0" w:firstRow="1" w:lastRow="0" w:firstColumn="1" w:lastColumn="0" w:noHBand="0" w:noVBand="1"/>
      </w:tblPr>
      <w:tblGrid>
        <w:gridCol w:w="2960"/>
        <w:gridCol w:w="6200"/>
      </w:tblGrid>
      <w:tr w:rsidR="00F03407" w:rsidRPr="00F03407" w14:paraId="6197A898" w14:textId="77777777" w:rsidTr="00F03407">
        <w:tc>
          <w:tcPr>
            <w:tcW w:w="237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3DACF6C3"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b/>
                <w:bCs/>
                <w:color w:val="515151"/>
                <w:kern w:val="0"/>
                <w:sz w:val="21"/>
                <w:szCs w:val="21"/>
                <w:lang w:eastAsia="vi-VN"/>
                <w14:ligatures w14:val="none"/>
              </w:rPr>
              <w:t>Ông:</w:t>
            </w:r>
          </w:p>
        </w:tc>
        <w:tc>
          <w:tcPr>
            <w:tcW w:w="496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2F8377CC"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w:t>
            </w:r>
          </w:p>
        </w:tc>
      </w:tr>
      <w:tr w:rsidR="00F03407" w:rsidRPr="00F03407" w14:paraId="7F693ACE" w14:textId="77777777" w:rsidTr="00F03407">
        <w:tc>
          <w:tcPr>
            <w:tcW w:w="237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122BC71B"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Sinh ngày:</w:t>
            </w:r>
          </w:p>
        </w:tc>
        <w:tc>
          <w:tcPr>
            <w:tcW w:w="496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34822243"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w:t>
            </w:r>
          </w:p>
        </w:tc>
      </w:tr>
      <w:tr w:rsidR="00F03407" w:rsidRPr="00F03407" w14:paraId="5F52293F" w14:textId="77777777" w:rsidTr="00F03407">
        <w:tc>
          <w:tcPr>
            <w:tcW w:w="237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0301E235"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Nơi đăng ký HKTT:</w:t>
            </w:r>
          </w:p>
        </w:tc>
        <w:tc>
          <w:tcPr>
            <w:tcW w:w="496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7A4FB7FC"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w:t>
            </w:r>
          </w:p>
        </w:tc>
      </w:tr>
      <w:tr w:rsidR="00F03407" w:rsidRPr="00F03407" w14:paraId="2637F1A2" w14:textId="77777777" w:rsidTr="00F03407">
        <w:tc>
          <w:tcPr>
            <w:tcW w:w="237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6E05399D"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Chỗ ở hiện tại:</w:t>
            </w:r>
          </w:p>
        </w:tc>
        <w:tc>
          <w:tcPr>
            <w:tcW w:w="496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5980332B"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w:t>
            </w:r>
          </w:p>
        </w:tc>
      </w:tr>
      <w:tr w:rsidR="00F03407" w:rsidRPr="00F03407" w14:paraId="0CF4DC42" w14:textId="77777777" w:rsidTr="00F03407">
        <w:tc>
          <w:tcPr>
            <w:tcW w:w="237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4B3D94BD"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CMND  số:</w:t>
            </w:r>
          </w:p>
        </w:tc>
        <w:tc>
          <w:tcPr>
            <w:tcW w:w="496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147FFC0B"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w:t>
            </w:r>
          </w:p>
        </w:tc>
      </w:tr>
      <w:tr w:rsidR="00F03407" w:rsidRPr="00F03407" w14:paraId="234CB606" w14:textId="77777777" w:rsidTr="00F03407">
        <w:tc>
          <w:tcPr>
            <w:tcW w:w="237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28B2948A"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b/>
                <w:bCs/>
                <w:color w:val="515151"/>
                <w:kern w:val="0"/>
                <w:sz w:val="21"/>
                <w:szCs w:val="21"/>
                <w:lang w:eastAsia="vi-VN"/>
                <w14:ligatures w14:val="none"/>
              </w:rPr>
              <w:t>Cùng vợ là bà:</w:t>
            </w:r>
          </w:p>
        </w:tc>
        <w:tc>
          <w:tcPr>
            <w:tcW w:w="496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65F92D53"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w:t>
            </w:r>
          </w:p>
        </w:tc>
      </w:tr>
      <w:tr w:rsidR="00F03407" w:rsidRPr="00F03407" w14:paraId="6B146E10" w14:textId="77777777" w:rsidTr="00F03407">
        <w:tc>
          <w:tcPr>
            <w:tcW w:w="237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50EFDB19"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Sinh ngày:</w:t>
            </w:r>
          </w:p>
        </w:tc>
        <w:tc>
          <w:tcPr>
            <w:tcW w:w="496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1CB51C89"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w:t>
            </w:r>
          </w:p>
        </w:tc>
      </w:tr>
    </w:tbl>
    <w:p w14:paraId="09CF41CB" w14:textId="77777777" w:rsidR="00F03407" w:rsidRPr="00F03407" w:rsidRDefault="00F03407" w:rsidP="00F03407">
      <w:pPr>
        <w:shd w:val="clear" w:color="auto" w:fill="FFFFFF"/>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b/>
          <w:bCs/>
          <w:color w:val="515151"/>
          <w:kern w:val="0"/>
          <w:sz w:val="21"/>
          <w:szCs w:val="21"/>
          <w:lang w:eastAsia="vi-VN"/>
          <w14:ligatures w14:val="none"/>
        </w:rPr>
        <w:t>Bên mượn Nhà:  (Bên B)</w:t>
      </w:r>
    </w:p>
    <w:tbl>
      <w:tblPr>
        <w:tblW w:w="9160" w:type="dxa"/>
        <w:shd w:val="clear" w:color="auto" w:fill="FFFFFF"/>
        <w:tblCellMar>
          <w:left w:w="0" w:type="dxa"/>
          <w:right w:w="0" w:type="dxa"/>
        </w:tblCellMar>
        <w:tblLook w:val="04A0" w:firstRow="1" w:lastRow="0" w:firstColumn="1" w:lastColumn="0" w:noHBand="0" w:noVBand="1"/>
      </w:tblPr>
      <w:tblGrid>
        <w:gridCol w:w="2492"/>
        <w:gridCol w:w="420"/>
        <w:gridCol w:w="6248"/>
      </w:tblGrid>
      <w:tr w:rsidR="00F03407" w:rsidRPr="00F03407" w14:paraId="6689E704" w14:textId="77777777" w:rsidTr="00F03407">
        <w:tc>
          <w:tcPr>
            <w:tcW w:w="213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6F1BC476"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Tên tổ chức</w:t>
            </w:r>
          </w:p>
        </w:tc>
        <w:tc>
          <w:tcPr>
            <w:tcW w:w="2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174CDA28"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w:t>
            </w:r>
          </w:p>
        </w:tc>
        <w:tc>
          <w:tcPr>
            <w:tcW w:w="513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7A59EA99"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b/>
                <w:bCs/>
                <w:color w:val="515151"/>
                <w:kern w:val="0"/>
                <w:sz w:val="21"/>
                <w:szCs w:val="21"/>
                <w:lang w:eastAsia="vi-VN"/>
                <w14:ligatures w14:val="none"/>
              </w:rPr>
              <w:t>…………………………………………………</w:t>
            </w:r>
          </w:p>
        </w:tc>
      </w:tr>
      <w:tr w:rsidR="00F03407" w:rsidRPr="00F03407" w14:paraId="0B212308" w14:textId="77777777" w:rsidTr="00F03407">
        <w:tc>
          <w:tcPr>
            <w:tcW w:w="213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537072F9"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Trụ sở chính</w:t>
            </w:r>
          </w:p>
        </w:tc>
        <w:tc>
          <w:tcPr>
            <w:tcW w:w="2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1BF7913A"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w:t>
            </w:r>
          </w:p>
        </w:tc>
        <w:tc>
          <w:tcPr>
            <w:tcW w:w="513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038B1E96"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w:t>
            </w:r>
          </w:p>
        </w:tc>
      </w:tr>
      <w:tr w:rsidR="00F03407" w:rsidRPr="00F03407" w14:paraId="74A77D55" w14:textId="77777777" w:rsidTr="00F03407">
        <w:tc>
          <w:tcPr>
            <w:tcW w:w="213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1149A8C6"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Đại diện bởi     </w:t>
            </w:r>
          </w:p>
        </w:tc>
        <w:tc>
          <w:tcPr>
            <w:tcW w:w="2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51DC769D"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w:t>
            </w:r>
          </w:p>
        </w:tc>
        <w:tc>
          <w:tcPr>
            <w:tcW w:w="513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11BF5834"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b/>
                <w:bCs/>
                <w:color w:val="515151"/>
                <w:kern w:val="0"/>
                <w:sz w:val="21"/>
                <w:szCs w:val="21"/>
                <w:lang w:eastAsia="vi-VN"/>
                <w14:ligatures w14:val="none"/>
              </w:rPr>
              <w:t>………………………………………………………………</w:t>
            </w:r>
          </w:p>
        </w:tc>
      </w:tr>
      <w:tr w:rsidR="00F03407" w:rsidRPr="00F03407" w14:paraId="5F206AA5" w14:textId="77777777" w:rsidTr="00F03407">
        <w:tc>
          <w:tcPr>
            <w:tcW w:w="213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588019CB"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lastRenderedPageBreak/>
              <w:t>Mã số thuế</w:t>
            </w:r>
          </w:p>
        </w:tc>
        <w:tc>
          <w:tcPr>
            <w:tcW w:w="2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456A5A96"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w:t>
            </w:r>
          </w:p>
        </w:tc>
        <w:tc>
          <w:tcPr>
            <w:tcW w:w="513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hideMark/>
          </w:tcPr>
          <w:p w14:paraId="1C21FE2B" w14:textId="77777777" w:rsidR="00F03407" w:rsidRPr="00F03407" w:rsidRDefault="00F03407" w:rsidP="00F03407">
            <w:pPr>
              <w:spacing w:before="120" w:after="120" w:line="340" w:lineRule="exact"/>
              <w:rPr>
                <w:rFonts w:ascii="Arial" w:eastAsia="Times New Roman" w:hAnsi="Arial" w:cs="Arial"/>
                <w:color w:val="515151"/>
                <w:kern w:val="0"/>
                <w:sz w:val="21"/>
                <w:szCs w:val="21"/>
                <w:lang w:eastAsia="vi-VN"/>
                <w14:ligatures w14:val="none"/>
              </w:rPr>
            </w:pPr>
            <w:r w:rsidRPr="00F03407">
              <w:rPr>
                <w:rFonts w:ascii="Arial" w:eastAsia="Times New Roman" w:hAnsi="Arial" w:cs="Arial"/>
                <w:b/>
                <w:bCs/>
                <w:color w:val="515151"/>
                <w:kern w:val="0"/>
                <w:sz w:val="21"/>
                <w:szCs w:val="21"/>
                <w:lang w:eastAsia="vi-VN"/>
                <w14:ligatures w14:val="none"/>
              </w:rPr>
              <w:t>……………………………………………….</w:t>
            </w:r>
          </w:p>
        </w:tc>
      </w:tr>
    </w:tbl>
    <w:p w14:paraId="79A83087"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Sau khi bàn bạc thỏa thuận, hai bên nhất trí ký hợp mượn nhà với những điều khoản cụ thể sau:</w:t>
      </w:r>
    </w:p>
    <w:p w14:paraId="445A9D29"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u w:val="single"/>
          <w:lang w:eastAsia="vi-VN"/>
          <w14:ligatures w14:val="none"/>
        </w:rPr>
        <w:t>Điều 1</w:t>
      </w:r>
      <w:r w:rsidRPr="00F03407">
        <w:rPr>
          <w:rFonts w:ascii="Arial" w:eastAsia="Times New Roman" w:hAnsi="Arial" w:cs="Arial"/>
          <w:color w:val="515151"/>
          <w:kern w:val="0"/>
          <w:sz w:val="21"/>
          <w:szCs w:val="21"/>
          <w:lang w:eastAsia="vi-VN"/>
          <w14:ligatures w14:val="none"/>
        </w:rPr>
        <w:t>: Diện tích nhà cho mượn:</w:t>
      </w:r>
    </w:p>
    <w:p w14:paraId="634BF9F2"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 Bên A đồng ý cho bên B mượn toàn bộ diện tích nhà có địa chỉ tại:</w:t>
      </w:r>
    </w:p>
    <w:p w14:paraId="74C0A0C3"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w:t>
      </w:r>
    </w:p>
    <w:p w14:paraId="1CE44F9B"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 Mục đích  sử dụng của bên B:……………………………………………………………………………….</w:t>
      </w:r>
    </w:p>
    <w:p w14:paraId="7DCE9D09"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u w:val="single"/>
          <w:lang w:eastAsia="vi-VN"/>
          <w14:ligatures w14:val="none"/>
        </w:rPr>
        <w:t>Điều 2:</w:t>
      </w:r>
      <w:r w:rsidRPr="00F03407">
        <w:rPr>
          <w:rFonts w:ascii="Arial" w:eastAsia="Times New Roman" w:hAnsi="Arial" w:cs="Arial"/>
          <w:color w:val="515151"/>
          <w:kern w:val="0"/>
          <w:sz w:val="21"/>
          <w:szCs w:val="21"/>
          <w:lang w:eastAsia="vi-VN"/>
          <w14:ligatures w14:val="none"/>
        </w:rPr>
        <w:t> Thời hạn cho mượn:</w:t>
      </w:r>
    </w:p>
    <w:p w14:paraId="7A6B5728"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3.1. Thời hạn mượn nhà là: ……… năm tính từ ngày hai bên ký kết Hợp đồng này.</w:t>
      </w:r>
    </w:p>
    <w:p w14:paraId="02FB8129"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3.2. Khi hợp đồng sắp hết hạn, trong cùng điều kiện như nhau, giữa các đối tượng muốn mượn, bên B được quyền ưu tiên ký tiếp hợp đồng theo những thỏa thuận mới tại thời điểm đó trước khi hợp đồng hết hạn 1 tháng.</w:t>
      </w:r>
    </w:p>
    <w:p w14:paraId="0596BD77"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u w:val="single"/>
          <w:lang w:eastAsia="vi-VN"/>
          <w14:ligatures w14:val="none"/>
        </w:rPr>
        <w:t>Điều 3:</w:t>
      </w:r>
      <w:r w:rsidRPr="00F03407">
        <w:rPr>
          <w:rFonts w:ascii="Arial" w:eastAsia="Times New Roman" w:hAnsi="Arial" w:cs="Arial"/>
          <w:color w:val="515151"/>
          <w:kern w:val="0"/>
          <w:sz w:val="21"/>
          <w:szCs w:val="21"/>
          <w:lang w:eastAsia="vi-VN"/>
          <w14:ligatures w14:val="none"/>
        </w:rPr>
        <w:t> Phương thức thanh toán:</w:t>
      </w:r>
    </w:p>
    <w:p w14:paraId="02EF4139"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4.1. Bên B thanh toán cho bên A tiền điện, nước trong thời gian mượn nhà được tính bằng tiền Việt Nam đồng. Vào ngày 01 hàng tháng, hai bên căn cứ vào đồng hồ đo đếm điện để lập và ký biên bản tiêu thụ điện để thanh toán cho bên A. Bên B thanh toán tiền điện cho bên A theo định kỳ thanh toán tiền nhà, số tiền điện được dựa trên biên bản.</w:t>
      </w:r>
    </w:p>
    <w:p w14:paraId="2FA5DAA6"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u w:val="single"/>
          <w:lang w:eastAsia="vi-VN"/>
          <w14:ligatures w14:val="none"/>
        </w:rPr>
        <w:t>Điều 4:</w:t>
      </w:r>
      <w:r w:rsidRPr="00F03407">
        <w:rPr>
          <w:rFonts w:ascii="Arial" w:eastAsia="Times New Roman" w:hAnsi="Arial" w:cs="Arial"/>
          <w:color w:val="515151"/>
          <w:kern w:val="0"/>
          <w:sz w:val="21"/>
          <w:szCs w:val="21"/>
          <w:lang w:eastAsia="vi-VN"/>
          <w14:ligatures w14:val="none"/>
        </w:rPr>
        <w:t> Các trường hợp chấm dứt hợp đồng trước thời hạn:</w:t>
      </w:r>
    </w:p>
    <w:p w14:paraId="08C1F0AC"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Chấm dứt hợp đồng do nguyên nhân khách quan: Trong trường hợp hợp đồng này bị hủy bỏ bởi những nguyên nhân khách quan như: thiên tai, động đất hỏa hoạn, chiến tranh, diện tích cho mượn bị thu hồi, phá hủy do quyết định của các cơ quan nhà nước có thẩm quyền, khi các bên chấm dứt hợp đồng trong trường hợp này thì không phát sinh nghĩa vụ bồi thường. Hai bên tiến hành việc thanh lý hợp đồng, hai bên tiến hành quyết toán tiện điện tính đến ngày thực tế chấm dứt hợp đồng.</w:t>
      </w:r>
    </w:p>
    <w:p w14:paraId="133ABC52"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b/>
          <w:bCs/>
          <w:color w:val="515151"/>
          <w:kern w:val="0"/>
          <w:sz w:val="21"/>
          <w:szCs w:val="21"/>
          <w:lang w:eastAsia="vi-VN"/>
          <w14:ligatures w14:val="none"/>
        </w:rPr>
        <w:t>Điều 5: Quyền và nghĩa vụ của các bên.</w:t>
      </w:r>
    </w:p>
    <w:p w14:paraId="4F57545B"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6.1. Quyền và nghĩa vụ của bên A:</w:t>
      </w:r>
    </w:p>
    <w:p w14:paraId="644BF43C"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Bên A lắp đặt cho bên B đồng hồ đo điện;</w:t>
      </w:r>
    </w:p>
    <w:p w14:paraId="50E57F15"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Chịu trách nhiệm bảo đảm an toàn cho tòa nhà.</w:t>
      </w:r>
    </w:p>
    <w:p w14:paraId="0F4927F1"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6.2. Quyền và nghĩa vụ của bên B:</w:t>
      </w:r>
    </w:p>
    <w:p w14:paraId="048DFDD4"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Trả tiền tiền điện, đầy đủ và đúng thời hạn theo hợp đồng này;</w:t>
      </w:r>
    </w:p>
    <w:p w14:paraId="564F671C"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lastRenderedPageBreak/>
        <w:t>Sử dụng nhà đúng mục đích đã thỏa thuận, bên B phải chịu trách nhiệm hoàn toàn trước pháp luật Việt Nam về hoạt động kinh doanh của mình;</w:t>
      </w:r>
    </w:p>
    <w:p w14:paraId="3F3386BF"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Không được sử dụng nhà của bên A làm vật thế chấp cho bên thứ ba. Không được chuyển nhượng hợp đồng mượn nhà cho người khác.</w:t>
      </w:r>
    </w:p>
    <w:p w14:paraId="36C5249B"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u w:val="single"/>
          <w:lang w:eastAsia="vi-VN"/>
          <w14:ligatures w14:val="none"/>
        </w:rPr>
        <w:t>Điều 6:</w:t>
      </w:r>
      <w:r w:rsidRPr="00F03407">
        <w:rPr>
          <w:rFonts w:ascii="Arial" w:eastAsia="Times New Roman" w:hAnsi="Arial" w:cs="Arial"/>
          <w:color w:val="515151"/>
          <w:kern w:val="0"/>
          <w:sz w:val="21"/>
          <w:szCs w:val="21"/>
          <w:lang w:eastAsia="vi-VN"/>
          <w14:ligatures w14:val="none"/>
        </w:rPr>
        <w:t> Các điều khoản khác:</w:t>
      </w:r>
    </w:p>
    <w:p w14:paraId="441A1245"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Hợp đồng được kết thúc trong các trường hợp sau:</w:t>
      </w:r>
    </w:p>
    <w:p w14:paraId="373BB13E"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Hợp đồng hết hạn;</w:t>
      </w:r>
    </w:p>
    <w:p w14:paraId="080B58A4"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Ngôi nhà không thể tiếp tục cho mượn do các quyết định của cơ quan nhà nước có thẩm quyền như quyết định quy hoạch, các lý do khách quan nêu trên theo Hợp đồng này nếu xảy ra thì bên A sẽ lấy lại ngôi nhà, bên B sẽ lấy lại các thiết bị do bên B lắp đặt.</w:t>
      </w:r>
    </w:p>
    <w:p w14:paraId="36543923"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Hai bên cam kết cùng nghiêm chỉnh thực hiện hợp đồng. Hai bên phải tuân thủ các quy định của nhà nước VN về quy hoạch(nếu có) và các quy định liên quan đến việc mượn nhà;</w:t>
      </w:r>
    </w:p>
    <w:p w14:paraId="5820B7F9" w14:textId="77777777" w:rsidR="00F03407" w:rsidRP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Trong trường hợp có tranh chấp, hai bên cùng nhau bàn bạc, giải quyết. Nếu không thể thỏa thuận được, các tranh chấp sẽ được đưa ra tòa án Kinh tế Hà nội giải quyết.</w:t>
      </w:r>
    </w:p>
    <w:p w14:paraId="7A3EB780" w14:textId="77777777" w:rsidR="00F03407" w:rsidRDefault="00F03407" w:rsidP="00F03407">
      <w:pPr>
        <w:shd w:val="clear" w:color="auto" w:fill="FFFFFF"/>
        <w:spacing w:before="120" w:after="120" w:line="340" w:lineRule="exact"/>
        <w:jc w:val="both"/>
        <w:rPr>
          <w:rFonts w:ascii="Arial" w:eastAsia="Times New Roman" w:hAnsi="Arial" w:cs="Arial"/>
          <w:color w:val="515151"/>
          <w:kern w:val="0"/>
          <w:sz w:val="21"/>
          <w:szCs w:val="21"/>
          <w:lang w:eastAsia="vi-VN"/>
          <w14:ligatures w14:val="none"/>
        </w:rPr>
      </w:pPr>
      <w:r w:rsidRPr="00F03407">
        <w:rPr>
          <w:rFonts w:ascii="Arial" w:eastAsia="Times New Roman" w:hAnsi="Arial" w:cs="Arial"/>
          <w:color w:val="515151"/>
          <w:kern w:val="0"/>
          <w:sz w:val="21"/>
          <w:szCs w:val="21"/>
          <w:lang w:eastAsia="vi-VN"/>
          <w14:ligatures w14:val="none"/>
        </w:rPr>
        <w:t>Hợp đồng được làm thành 02 bản, mỗi bên giữ 01 bản có giá trị như nhau và có hiệu lực từ ngày ký.</w:t>
      </w:r>
    </w:p>
    <w:tbl>
      <w:tblPr>
        <w:tblStyle w:val="TableGrid"/>
        <w:tblW w:w="0" w:type="auto"/>
        <w:tblLook w:val="04A0" w:firstRow="1" w:lastRow="0" w:firstColumn="1" w:lastColumn="0" w:noHBand="0" w:noVBand="1"/>
      </w:tblPr>
      <w:tblGrid>
        <w:gridCol w:w="4508"/>
        <w:gridCol w:w="4508"/>
      </w:tblGrid>
      <w:tr w:rsidR="00F03407" w14:paraId="16F82696" w14:textId="77777777" w:rsidTr="00F03407">
        <w:tc>
          <w:tcPr>
            <w:tcW w:w="4621" w:type="dxa"/>
          </w:tcPr>
          <w:p w14:paraId="3512CB22" w14:textId="677724A6" w:rsidR="00F03407" w:rsidRDefault="00F03407" w:rsidP="00F03407">
            <w:pPr>
              <w:spacing w:before="80" w:after="80"/>
              <w:jc w:val="center"/>
              <w:rPr>
                <w:rFonts w:ascii="Arial" w:eastAsia="Times New Roman" w:hAnsi="Arial" w:cs="Arial"/>
                <w:color w:val="515151"/>
                <w:kern w:val="0"/>
                <w:sz w:val="21"/>
                <w:szCs w:val="21"/>
                <w:lang w:eastAsia="vi-VN"/>
                <w14:ligatures w14:val="none"/>
              </w:rPr>
            </w:pPr>
            <w:r w:rsidRPr="00F03407">
              <w:rPr>
                <w:rFonts w:ascii="Arial" w:eastAsia="Times New Roman" w:hAnsi="Arial" w:cs="Arial"/>
                <w:b/>
                <w:bCs/>
                <w:color w:val="515151"/>
                <w:kern w:val="0"/>
                <w:sz w:val="21"/>
                <w:szCs w:val="21"/>
                <w:lang w:eastAsia="vi-VN"/>
                <w14:ligatures w14:val="none"/>
              </w:rPr>
              <w:t>ĐẠI DIỆN BÊN A</w:t>
            </w:r>
          </w:p>
        </w:tc>
        <w:tc>
          <w:tcPr>
            <w:tcW w:w="4621" w:type="dxa"/>
          </w:tcPr>
          <w:p w14:paraId="2D079552" w14:textId="2B6D161A" w:rsidR="00F03407" w:rsidRDefault="00F03407" w:rsidP="00F03407">
            <w:pPr>
              <w:shd w:val="clear" w:color="auto" w:fill="FFFFFF"/>
              <w:spacing w:before="80" w:after="80"/>
              <w:jc w:val="center"/>
              <w:rPr>
                <w:rFonts w:ascii="Arial" w:eastAsia="Times New Roman" w:hAnsi="Arial" w:cs="Arial"/>
                <w:color w:val="515151"/>
                <w:kern w:val="0"/>
                <w:sz w:val="21"/>
                <w:szCs w:val="21"/>
                <w:lang w:eastAsia="vi-VN"/>
                <w14:ligatures w14:val="none"/>
              </w:rPr>
            </w:pPr>
            <w:r w:rsidRPr="00F03407">
              <w:rPr>
                <w:rFonts w:ascii="Arial" w:eastAsia="Times New Roman" w:hAnsi="Arial" w:cs="Arial"/>
                <w:b/>
                <w:bCs/>
                <w:color w:val="515151"/>
                <w:kern w:val="0"/>
                <w:sz w:val="21"/>
                <w:szCs w:val="21"/>
                <w:lang w:eastAsia="vi-VN"/>
                <w14:ligatures w14:val="none"/>
              </w:rPr>
              <w:t>ĐẠI DIỆN BÊN B</w:t>
            </w:r>
          </w:p>
        </w:tc>
      </w:tr>
      <w:tr w:rsidR="00F03407" w14:paraId="30CDB970" w14:textId="77777777" w:rsidTr="00F03407">
        <w:tc>
          <w:tcPr>
            <w:tcW w:w="4621" w:type="dxa"/>
          </w:tcPr>
          <w:p w14:paraId="229E35CF" w14:textId="77777777" w:rsidR="00F03407" w:rsidRDefault="00F03407" w:rsidP="00F03407">
            <w:pPr>
              <w:spacing w:before="80" w:after="80"/>
              <w:jc w:val="both"/>
              <w:rPr>
                <w:rFonts w:ascii="Arial" w:eastAsia="Times New Roman" w:hAnsi="Arial" w:cs="Arial"/>
                <w:color w:val="515151"/>
                <w:kern w:val="0"/>
                <w:sz w:val="21"/>
                <w:szCs w:val="21"/>
                <w:lang w:eastAsia="vi-VN"/>
                <w14:ligatures w14:val="none"/>
              </w:rPr>
            </w:pPr>
          </w:p>
          <w:p w14:paraId="7D9754AE" w14:textId="77777777" w:rsidR="00F03407" w:rsidRDefault="00F03407" w:rsidP="00F03407">
            <w:pPr>
              <w:spacing w:before="80" w:after="80"/>
              <w:jc w:val="both"/>
              <w:rPr>
                <w:rFonts w:ascii="Arial" w:eastAsia="Times New Roman" w:hAnsi="Arial" w:cs="Arial"/>
                <w:color w:val="515151"/>
                <w:kern w:val="0"/>
                <w:sz w:val="21"/>
                <w:szCs w:val="21"/>
                <w:lang w:eastAsia="vi-VN"/>
                <w14:ligatures w14:val="none"/>
              </w:rPr>
            </w:pPr>
          </w:p>
          <w:p w14:paraId="45B37227" w14:textId="77777777" w:rsidR="00F03407" w:rsidRDefault="00F03407" w:rsidP="00F03407">
            <w:pPr>
              <w:spacing w:before="80" w:after="80"/>
              <w:jc w:val="both"/>
              <w:rPr>
                <w:rFonts w:ascii="Arial" w:eastAsia="Times New Roman" w:hAnsi="Arial" w:cs="Arial"/>
                <w:color w:val="515151"/>
                <w:kern w:val="0"/>
                <w:sz w:val="21"/>
                <w:szCs w:val="21"/>
                <w:lang w:eastAsia="vi-VN"/>
                <w14:ligatures w14:val="none"/>
              </w:rPr>
            </w:pPr>
          </w:p>
          <w:p w14:paraId="48ECFA05" w14:textId="77777777" w:rsidR="00F03407" w:rsidRDefault="00F03407" w:rsidP="00F03407">
            <w:pPr>
              <w:spacing w:before="80" w:after="80"/>
              <w:jc w:val="center"/>
              <w:rPr>
                <w:rFonts w:ascii="Arial" w:eastAsia="Times New Roman" w:hAnsi="Arial" w:cs="Arial"/>
                <w:color w:val="515151"/>
                <w:kern w:val="0"/>
                <w:sz w:val="21"/>
                <w:szCs w:val="21"/>
                <w:lang w:eastAsia="vi-VN"/>
                <w14:ligatures w14:val="none"/>
              </w:rPr>
            </w:pPr>
          </w:p>
        </w:tc>
        <w:tc>
          <w:tcPr>
            <w:tcW w:w="4621" w:type="dxa"/>
          </w:tcPr>
          <w:p w14:paraId="7CF5CC01" w14:textId="77777777" w:rsidR="00F03407" w:rsidRDefault="00F03407" w:rsidP="00F03407">
            <w:pPr>
              <w:spacing w:before="80" w:after="80"/>
              <w:jc w:val="both"/>
              <w:rPr>
                <w:rFonts w:ascii="Arial" w:eastAsia="Times New Roman" w:hAnsi="Arial" w:cs="Arial"/>
                <w:color w:val="515151"/>
                <w:kern w:val="0"/>
                <w:sz w:val="21"/>
                <w:szCs w:val="21"/>
                <w:lang w:eastAsia="vi-VN"/>
                <w14:ligatures w14:val="none"/>
              </w:rPr>
            </w:pPr>
          </w:p>
          <w:p w14:paraId="29ADF74A" w14:textId="77777777" w:rsidR="00F03407" w:rsidRDefault="00F03407" w:rsidP="00F03407">
            <w:pPr>
              <w:spacing w:before="80" w:after="80"/>
              <w:jc w:val="both"/>
              <w:rPr>
                <w:rFonts w:ascii="Arial" w:eastAsia="Times New Roman" w:hAnsi="Arial" w:cs="Arial"/>
                <w:color w:val="515151"/>
                <w:kern w:val="0"/>
                <w:sz w:val="21"/>
                <w:szCs w:val="21"/>
                <w:lang w:eastAsia="vi-VN"/>
                <w14:ligatures w14:val="none"/>
              </w:rPr>
            </w:pPr>
          </w:p>
          <w:p w14:paraId="72C8A5BD" w14:textId="77777777" w:rsidR="00F03407" w:rsidRDefault="00F03407" w:rsidP="00F03407">
            <w:pPr>
              <w:spacing w:before="80" w:after="80"/>
              <w:jc w:val="both"/>
              <w:rPr>
                <w:rFonts w:ascii="Arial" w:eastAsia="Times New Roman" w:hAnsi="Arial" w:cs="Arial"/>
                <w:color w:val="515151"/>
                <w:kern w:val="0"/>
                <w:sz w:val="21"/>
                <w:szCs w:val="21"/>
                <w:lang w:eastAsia="vi-VN"/>
                <w14:ligatures w14:val="none"/>
              </w:rPr>
            </w:pPr>
          </w:p>
          <w:p w14:paraId="46406E21" w14:textId="77777777" w:rsidR="00F03407" w:rsidRDefault="00F03407" w:rsidP="00F03407">
            <w:pPr>
              <w:spacing w:before="80" w:after="80"/>
              <w:jc w:val="center"/>
              <w:rPr>
                <w:rFonts w:ascii="Arial" w:eastAsia="Times New Roman" w:hAnsi="Arial" w:cs="Arial"/>
                <w:color w:val="515151"/>
                <w:kern w:val="0"/>
                <w:sz w:val="21"/>
                <w:szCs w:val="21"/>
                <w:lang w:eastAsia="vi-VN"/>
                <w14:ligatures w14:val="none"/>
              </w:rPr>
            </w:pPr>
          </w:p>
        </w:tc>
      </w:tr>
    </w:tbl>
    <w:p w14:paraId="6CC49ED4" w14:textId="77777777" w:rsidR="00F03407" w:rsidRPr="00F03407" w:rsidRDefault="00F03407" w:rsidP="00F03407">
      <w:pPr>
        <w:shd w:val="clear" w:color="auto" w:fill="FFFFFF"/>
        <w:spacing w:after="300" w:line="240" w:lineRule="auto"/>
        <w:jc w:val="both"/>
        <w:rPr>
          <w:rFonts w:ascii="Arial" w:eastAsia="Times New Roman" w:hAnsi="Arial" w:cs="Arial"/>
          <w:color w:val="515151"/>
          <w:kern w:val="0"/>
          <w:sz w:val="21"/>
          <w:szCs w:val="21"/>
          <w:lang w:eastAsia="vi-VN"/>
          <w14:ligatures w14:val="none"/>
        </w:rPr>
      </w:pPr>
    </w:p>
    <w:p w14:paraId="034F98D9" w14:textId="77777777" w:rsidR="007B3A60" w:rsidRDefault="007B3A60"/>
    <w:sectPr w:rsidR="007B3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07"/>
    <w:rsid w:val="001F0EA2"/>
    <w:rsid w:val="007B3A60"/>
    <w:rsid w:val="00F0340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A031"/>
  <w15:chartTrackingRefBased/>
  <w15:docId w15:val="{A0EABB82-DEF4-45BD-BAD0-20AC09B8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407"/>
    <w:pPr>
      <w:spacing w:before="100" w:beforeAutospacing="1" w:after="100" w:afterAutospacing="1" w:line="240" w:lineRule="auto"/>
    </w:pPr>
    <w:rPr>
      <w:rFonts w:ascii="Times New Roman" w:eastAsia="Times New Roman" w:hAnsi="Times New Roman" w:cs="Times New Roman"/>
      <w:kern w:val="0"/>
      <w:sz w:val="24"/>
      <w:szCs w:val="24"/>
      <w:lang w:eastAsia="vi-VN"/>
    </w:rPr>
  </w:style>
  <w:style w:type="character" w:styleId="Strong">
    <w:name w:val="Strong"/>
    <w:basedOn w:val="DefaultParagraphFont"/>
    <w:uiPriority w:val="22"/>
    <w:qFormat/>
    <w:rsid w:val="00F03407"/>
    <w:rPr>
      <w:b/>
      <w:bCs/>
    </w:rPr>
  </w:style>
  <w:style w:type="character" w:styleId="Emphasis">
    <w:name w:val="Emphasis"/>
    <w:basedOn w:val="DefaultParagraphFont"/>
    <w:uiPriority w:val="20"/>
    <w:qFormat/>
    <w:rsid w:val="00F03407"/>
    <w:rPr>
      <w:i/>
      <w:iCs/>
    </w:rPr>
  </w:style>
  <w:style w:type="table" w:styleId="TableGrid">
    <w:name w:val="Table Grid"/>
    <w:basedOn w:val="TableNormal"/>
    <w:uiPriority w:val="39"/>
    <w:rsid w:val="00F0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04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Vu Quoc Viet GV</dc:creator>
  <cp:keywords/>
  <dc:description/>
  <cp:lastModifiedBy>Nguyen Vu Quoc Viet GV</cp:lastModifiedBy>
  <cp:revision>1</cp:revision>
  <dcterms:created xsi:type="dcterms:W3CDTF">2023-11-12T02:40:00Z</dcterms:created>
  <dcterms:modified xsi:type="dcterms:W3CDTF">2023-11-12T02:44:00Z</dcterms:modified>
</cp:coreProperties>
</file>